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8F" w:rsidRPr="006101B6" w:rsidRDefault="00A41A8F" w:rsidP="00A41A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A41A8F" w:rsidRPr="006101B6" w:rsidRDefault="00A41A8F" w:rsidP="00A41A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A41A8F" w:rsidRPr="006101B6" w:rsidRDefault="00A41A8F" w:rsidP="00A41A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A41A8F" w:rsidRPr="006101B6" w:rsidRDefault="00A41A8F" w:rsidP="00A41A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A41A8F" w:rsidRPr="006101B6" w:rsidRDefault="00A41A8F" w:rsidP="00A41A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p w:rsidR="00A41A8F" w:rsidRDefault="00A41A8F" w:rsidP="00A41A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1"/>
        <w:gridCol w:w="6298"/>
        <w:gridCol w:w="1241"/>
      </w:tblGrid>
      <w:tr w:rsidR="00A41A8F" w:rsidRPr="006101B6" w:rsidTr="00F60ADA">
        <w:trPr>
          <w:trHeight w:val="576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</w:tcPr>
          <w:p w:rsidR="00A41A8F" w:rsidRPr="006101B6" w:rsidRDefault="00A41A8F" w:rsidP="00F60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A41A8F" w:rsidRPr="006101B6" w:rsidTr="00F60ADA">
        <w:trPr>
          <w:trHeight w:val="312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1A8F" w:rsidRPr="006101B6" w:rsidTr="00F60ADA">
        <w:trPr>
          <w:trHeight w:val="1152"/>
          <w:jc w:val="center"/>
        </w:trPr>
        <w:tc>
          <w:tcPr>
            <w:tcW w:w="1181" w:type="dxa"/>
            <w:vMerge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1A8F" w:rsidRPr="006101B6" w:rsidTr="00F60ADA">
        <w:trPr>
          <w:trHeight w:val="576"/>
          <w:jc w:val="center"/>
        </w:trPr>
        <w:tc>
          <w:tcPr>
            <w:tcW w:w="1181" w:type="dxa"/>
            <w:vMerge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1A8F" w:rsidRPr="006101B6" w:rsidTr="00F60ADA">
        <w:trPr>
          <w:trHeight w:val="576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1A8F" w:rsidRPr="006101B6" w:rsidTr="00F60ADA">
        <w:trPr>
          <w:trHeight w:val="576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1A8F" w:rsidRPr="006101B6" w:rsidTr="00F60ADA">
        <w:trPr>
          <w:trHeight w:val="576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1A8F" w:rsidRPr="006101B6" w:rsidTr="00F60ADA">
        <w:trPr>
          <w:trHeight w:val="753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A41A8F" w:rsidRPr="006101B6" w:rsidRDefault="00A41A8F" w:rsidP="00F60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A538AC" w:rsidRDefault="00A538AC" w:rsidP="00A538AC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拥有</w:t>
            </w:r>
            <w:r>
              <w:t>独立的</w:t>
            </w:r>
            <w:r>
              <w:rPr>
                <w:rFonts w:hint="eastAsia"/>
              </w:rPr>
              <w:t>、</w:t>
            </w:r>
            <w:r>
              <w:t>向社会公开进行交易且有成交记录的网上交易自营平台，需具有完善的商品交易结算信息系统及进销存控系统。</w:t>
            </w:r>
          </w:p>
          <w:p w:rsidR="00A538AC" w:rsidRDefault="00A538AC" w:rsidP="00A538AC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供应商有能力承担我行网点的配送及售后，包括辽宁省内各市区及北京、天津、哈尔滨等地区。</w:t>
            </w:r>
          </w:p>
          <w:p w:rsidR="00A41A8F" w:rsidRPr="00A538AC" w:rsidRDefault="00A538AC" w:rsidP="00F60AD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承诺所提供的商品为同期市场主流商品且不高于市场平均价。</w:t>
            </w:r>
          </w:p>
        </w:tc>
        <w:tc>
          <w:tcPr>
            <w:tcW w:w="1241" w:type="dxa"/>
          </w:tcPr>
          <w:p w:rsidR="00A41A8F" w:rsidRPr="00B32A50" w:rsidRDefault="00A41A8F" w:rsidP="00F60AD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10000A"/>
                <w:kern w:val="0"/>
                <w:sz w:val="22"/>
                <w:highlight w:val="yellow"/>
              </w:rPr>
            </w:pPr>
          </w:p>
        </w:tc>
      </w:tr>
    </w:tbl>
    <w:p w:rsidR="00A41A8F" w:rsidRPr="00320C38" w:rsidRDefault="00A41A8F" w:rsidP="00A41A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A41A8F" w:rsidRPr="009C2693" w:rsidRDefault="00A41A8F" w:rsidP="00A41A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41A8F" w:rsidRPr="00682EC1" w:rsidRDefault="00A41A8F" w:rsidP="00A41A8F"/>
    <w:p w:rsidR="00DA63B4" w:rsidRPr="00A41A8F" w:rsidRDefault="00DA63B4"/>
    <w:sectPr w:rsidR="00DA63B4" w:rsidRPr="00A41A8F" w:rsidSect="00116FFD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3E" w:rsidRDefault="00545D3E" w:rsidP="00A41A8F">
      <w:r>
        <w:separator/>
      </w:r>
    </w:p>
  </w:endnote>
  <w:endnote w:type="continuationSeparator" w:id="1">
    <w:p w:rsidR="00545D3E" w:rsidRDefault="00545D3E" w:rsidP="00A4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3E" w:rsidRDefault="00545D3E" w:rsidP="00A41A8F">
      <w:r>
        <w:separator/>
      </w:r>
    </w:p>
  </w:footnote>
  <w:footnote w:type="continuationSeparator" w:id="1">
    <w:p w:rsidR="00545D3E" w:rsidRDefault="00545D3E" w:rsidP="00A41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A8F"/>
    <w:rsid w:val="001B009A"/>
    <w:rsid w:val="001F6EE9"/>
    <w:rsid w:val="002A6389"/>
    <w:rsid w:val="00415021"/>
    <w:rsid w:val="00545D3E"/>
    <w:rsid w:val="006F2B7E"/>
    <w:rsid w:val="007068DA"/>
    <w:rsid w:val="00741003"/>
    <w:rsid w:val="00877CDA"/>
    <w:rsid w:val="008A0DEB"/>
    <w:rsid w:val="009707E5"/>
    <w:rsid w:val="009C17B0"/>
    <w:rsid w:val="00A41A8F"/>
    <w:rsid w:val="00A538AC"/>
    <w:rsid w:val="00A81E7A"/>
    <w:rsid w:val="00B55F8C"/>
    <w:rsid w:val="00C00360"/>
    <w:rsid w:val="00C640D5"/>
    <w:rsid w:val="00DA63B4"/>
    <w:rsid w:val="00EF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A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A8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2B7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F2B7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F2B7E"/>
    <w:rPr>
      <w:rFonts w:ascii="Calibri" w:eastAsia="宋体" w:hAnsi="Calibri" w:cs="黑体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F2B7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F2B7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F2B7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F2B7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77CA-B77E-4677-863A-F98D6BE7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ZH-zhuying</dc:creator>
  <cp:lastModifiedBy>李宏伟</cp:lastModifiedBy>
  <cp:revision>2</cp:revision>
  <dcterms:created xsi:type="dcterms:W3CDTF">2023-11-15T06:18:00Z</dcterms:created>
  <dcterms:modified xsi:type="dcterms:W3CDTF">2023-11-15T06:18:00Z</dcterms:modified>
</cp:coreProperties>
</file>