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D0" w:rsidRDefault="000B0B68">
      <w:pPr>
        <w:widowControl/>
        <w:jc w:val="left"/>
        <w:rPr>
          <w:rFonts w:ascii="仿宋" w:eastAsia="仿宋" w:hAnsi="仿宋"/>
          <w:b/>
          <w:sz w:val="32"/>
          <w:szCs w:val="32"/>
        </w:rPr>
      </w:pPr>
      <w:r>
        <w:rPr>
          <w:rFonts w:ascii="仿宋" w:eastAsia="仿宋" w:hAnsi="仿宋" w:hint="eastAsia"/>
          <w:b/>
          <w:sz w:val="32"/>
          <w:szCs w:val="32"/>
        </w:rPr>
        <w:t>附件</w:t>
      </w:r>
    </w:p>
    <w:p w:rsidR="00DA14D0" w:rsidRDefault="000B0B68">
      <w:pPr>
        <w:widowControl/>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DA14D0" w:rsidRDefault="00DA14D0">
      <w:pPr>
        <w:widowControl/>
        <w:jc w:val="center"/>
        <w:rPr>
          <w:rFonts w:ascii="宋体" w:hAnsi="宋体" w:cs="宋体"/>
          <w:b/>
          <w:bCs/>
          <w:kern w:val="0"/>
          <w:sz w:val="32"/>
          <w:szCs w:val="32"/>
        </w:rPr>
      </w:pPr>
    </w:p>
    <w:p w:rsidR="00DA14D0" w:rsidRDefault="000B0B68">
      <w:pPr>
        <w:widowControl/>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XXXX公司（加盖公司公章）</w:t>
      </w:r>
    </w:p>
    <w:p w:rsidR="00DA14D0" w:rsidRDefault="000B0B68">
      <w:pPr>
        <w:widowControl/>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XX（至少两位联系人），XXX（电话），XXXX（E-mail地址）</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5442"/>
        <w:gridCol w:w="2091"/>
      </w:tblGrid>
      <w:tr w:rsidR="00DA14D0">
        <w:trPr>
          <w:trHeight w:val="576"/>
          <w:jc w:val="center"/>
        </w:trPr>
        <w:tc>
          <w:tcPr>
            <w:tcW w:w="1187" w:type="dxa"/>
            <w:vAlign w:val="center"/>
          </w:tcPr>
          <w:p w:rsidR="00DA14D0" w:rsidRDefault="000B0B68">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准入资质大类</w:t>
            </w:r>
          </w:p>
        </w:tc>
        <w:tc>
          <w:tcPr>
            <w:tcW w:w="5442" w:type="dxa"/>
            <w:vAlign w:val="center"/>
          </w:tcPr>
          <w:p w:rsidR="00DA14D0" w:rsidRDefault="000B0B68">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准入资质具体内容</w:t>
            </w:r>
          </w:p>
        </w:tc>
        <w:tc>
          <w:tcPr>
            <w:tcW w:w="2091" w:type="dxa"/>
            <w:vAlign w:val="center"/>
          </w:tcPr>
          <w:p w:rsidR="00DA14D0" w:rsidRDefault="000B0B68">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供应商应答情况</w:t>
            </w:r>
          </w:p>
        </w:tc>
      </w:tr>
      <w:tr w:rsidR="00DA14D0">
        <w:trPr>
          <w:trHeight w:val="312"/>
          <w:jc w:val="center"/>
        </w:trPr>
        <w:tc>
          <w:tcPr>
            <w:tcW w:w="1187" w:type="dxa"/>
            <w:vMerge w:val="restart"/>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一、合法性及诚信要求</w:t>
            </w:r>
          </w:p>
        </w:tc>
        <w:tc>
          <w:tcPr>
            <w:tcW w:w="5442" w:type="dxa"/>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1.具有独立承担民事责任能力的法人。</w:t>
            </w:r>
          </w:p>
        </w:tc>
        <w:tc>
          <w:tcPr>
            <w:tcW w:w="2091" w:type="dxa"/>
            <w:vAlign w:val="center"/>
          </w:tcPr>
          <w:p w:rsidR="00DA14D0" w:rsidRDefault="00DA14D0">
            <w:pPr>
              <w:widowControl/>
              <w:jc w:val="left"/>
              <w:rPr>
                <w:rFonts w:ascii="仿宋" w:eastAsia="仿宋" w:hAnsi="仿宋" w:cs="宋体"/>
                <w:color w:val="000000"/>
                <w:kern w:val="0"/>
                <w:sz w:val="24"/>
                <w:szCs w:val="24"/>
              </w:rPr>
            </w:pPr>
          </w:p>
        </w:tc>
      </w:tr>
      <w:tr w:rsidR="00DA14D0">
        <w:trPr>
          <w:trHeight w:val="546"/>
          <w:jc w:val="center"/>
        </w:trPr>
        <w:tc>
          <w:tcPr>
            <w:tcW w:w="1187" w:type="dxa"/>
            <w:vMerge/>
            <w:vAlign w:val="center"/>
          </w:tcPr>
          <w:p w:rsidR="00DA14D0" w:rsidRDefault="00DA14D0">
            <w:pPr>
              <w:widowControl/>
              <w:jc w:val="left"/>
              <w:rPr>
                <w:rFonts w:ascii="仿宋" w:eastAsia="仿宋" w:hAnsi="仿宋" w:cs="宋体"/>
                <w:color w:val="000000"/>
                <w:kern w:val="0"/>
                <w:sz w:val="24"/>
                <w:szCs w:val="24"/>
              </w:rPr>
            </w:pPr>
          </w:p>
        </w:tc>
        <w:tc>
          <w:tcPr>
            <w:tcW w:w="5442" w:type="dxa"/>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2.在最近三年内的经营活动中没有行贿等重大违法记录。</w:t>
            </w:r>
          </w:p>
        </w:tc>
        <w:tc>
          <w:tcPr>
            <w:tcW w:w="2091" w:type="dxa"/>
            <w:vAlign w:val="center"/>
          </w:tcPr>
          <w:p w:rsidR="00DA14D0" w:rsidRDefault="00DA14D0">
            <w:pPr>
              <w:widowControl/>
              <w:jc w:val="left"/>
              <w:rPr>
                <w:rFonts w:ascii="仿宋" w:eastAsia="仿宋" w:hAnsi="仿宋" w:cs="宋体"/>
                <w:color w:val="000000"/>
                <w:kern w:val="0"/>
                <w:sz w:val="24"/>
                <w:szCs w:val="24"/>
              </w:rPr>
            </w:pPr>
          </w:p>
        </w:tc>
      </w:tr>
      <w:tr w:rsidR="00DA14D0">
        <w:trPr>
          <w:trHeight w:val="907"/>
          <w:jc w:val="center"/>
        </w:trPr>
        <w:tc>
          <w:tcPr>
            <w:tcW w:w="1187" w:type="dxa"/>
            <w:vMerge/>
            <w:vAlign w:val="center"/>
          </w:tcPr>
          <w:p w:rsidR="00DA14D0" w:rsidRDefault="00DA14D0">
            <w:pPr>
              <w:widowControl/>
              <w:jc w:val="left"/>
              <w:rPr>
                <w:rFonts w:ascii="仿宋" w:eastAsia="仿宋" w:hAnsi="仿宋" w:cs="宋体"/>
                <w:color w:val="000000"/>
                <w:kern w:val="0"/>
                <w:sz w:val="24"/>
                <w:szCs w:val="24"/>
              </w:rPr>
            </w:pPr>
          </w:p>
        </w:tc>
        <w:tc>
          <w:tcPr>
            <w:tcW w:w="5442" w:type="dxa"/>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3.在与锦州银行的项目合作过程中，没有重大合同违约、泄露锦州银行商业秘密或技术秘密等事件。</w:t>
            </w:r>
          </w:p>
        </w:tc>
        <w:tc>
          <w:tcPr>
            <w:tcW w:w="2091" w:type="dxa"/>
            <w:vAlign w:val="center"/>
          </w:tcPr>
          <w:p w:rsidR="00DA14D0" w:rsidRDefault="00DA14D0">
            <w:pPr>
              <w:widowControl/>
              <w:jc w:val="left"/>
              <w:rPr>
                <w:rFonts w:ascii="仿宋" w:eastAsia="仿宋" w:hAnsi="仿宋" w:cs="宋体"/>
                <w:color w:val="000000"/>
                <w:kern w:val="0"/>
                <w:sz w:val="24"/>
                <w:szCs w:val="24"/>
              </w:rPr>
            </w:pPr>
          </w:p>
        </w:tc>
      </w:tr>
      <w:tr w:rsidR="00DA14D0">
        <w:trPr>
          <w:trHeight w:val="821"/>
          <w:jc w:val="center"/>
        </w:trPr>
        <w:tc>
          <w:tcPr>
            <w:tcW w:w="1187" w:type="dxa"/>
            <w:vMerge w:val="restart"/>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二、财务能力要求</w:t>
            </w:r>
          </w:p>
        </w:tc>
        <w:tc>
          <w:tcPr>
            <w:tcW w:w="5442" w:type="dxa"/>
            <w:vAlign w:val="center"/>
          </w:tcPr>
          <w:p w:rsidR="00DA14D0" w:rsidRDefault="000B0B68">
            <w:pPr>
              <w:widowControl/>
              <w:jc w:val="left"/>
              <w:textAlignment w:val="center"/>
              <w:rPr>
                <w:rFonts w:ascii="仿宋" w:eastAsia="仿宋" w:hAnsi="仿宋" w:cs="宋体"/>
                <w:sz w:val="24"/>
                <w:szCs w:val="24"/>
              </w:rPr>
            </w:pPr>
            <w:r>
              <w:rPr>
                <w:rFonts w:ascii="仿宋" w:eastAsia="仿宋" w:hAnsi="仿宋"/>
                <w:sz w:val="24"/>
                <w:szCs w:val="24"/>
              </w:rPr>
              <w:t>1.具有足够的经济实力：利润表中的“净利润”，近</w:t>
            </w:r>
            <w:r>
              <w:rPr>
                <w:rFonts w:ascii="仿宋" w:eastAsia="仿宋" w:hAnsi="仿宋" w:hint="eastAsia"/>
                <w:sz w:val="24"/>
                <w:szCs w:val="24"/>
              </w:rPr>
              <w:t>五年内</w:t>
            </w:r>
            <w:r>
              <w:rPr>
                <w:rFonts w:ascii="仿宋" w:eastAsia="仿宋" w:hAnsi="仿宋"/>
                <w:sz w:val="24"/>
                <w:szCs w:val="24"/>
              </w:rPr>
              <w:t>至少</w:t>
            </w:r>
            <w:r>
              <w:rPr>
                <w:rFonts w:ascii="仿宋" w:eastAsia="仿宋" w:hAnsi="仿宋" w:hint="eastAsia"/>
                <w:sz w:val="24"/>
                <w:szCs w:val="24"/>
              </w:rPr>
              <w:t>三</w:t>
            </w:r>
            <w:r>
              <w:rPr>
                <w:rFonts w:ascii="仿宋" w:eastAsia="仿宋" w:hAnsi="仿宋"/>
                <w:sz w:val="24"/>
                <w:szCs w:val="24"/>
              </w:rPr>
              <w:t>年不为负数。</w:t>
            </w:r>
          </w:p>
        </w:tc>
        <w:tc>
          <w:tcPr>
            <w:tcW w:w="2091" w:type="dxa"/>
            <w:vAlign w:val="center"/>
          </w:tcPr>
          <w:p w:rsidR="00DA14D0" w:rsidRDefault="00DA14D0">
            <w:pPr>
              <w:widowControl/>
              <w:jc w:val="left"/>
              <w:textAlignment w:val="center"/>
              <w:rPr>
                <w:rFonts w:ascii="仿宋" w:eastAsia="仿宋" w:hAnsi="仿宋" w:cs="宋体"/>
                <w:sz w:val="24"/>
                <w:szCs w:val="24"/>
              </w:rPr>
            </w:pPr>
          </w:p>
        </w:tc>
      </w:tr>
      <w:tr w:rsidR="00DA14D0">
        <w:trPr>
          <w:trHeight w:val="705"/>
          <w:jc w:val="center"/>
        </w:trPr>
        <w:tc>
          <w:tcPr>
            <w:tcW w:w="1187" w:type="dxa"/>
            <w:vMerge/>
            <w:vAlign w:val="center"/>
          </w:tcPr>
          <w:p w:rsidR="00DA14D0" w:rsidRDefault="00DA14D0">
            <w:pPr>
              <w:widowControl/>
              <w:jc w:val="left"/>
              <w:rPr>
                <w:rFonts w:ascii="仿宋" w:eastAsia="仿宋" w:hAnsi="仿宋" w:cs="宋体"/>
                <w:color w:val="000000"/>
                <w:kern w:val="0"/>
                <w:sz w:val="24"/>
                <w:szCs w:val="24"/>
              </w:rPr>
            </w:pPr>
          </w:p>
        </w:tc>
        <w:tc>
          <w:tcPr>
            <w:tcW w:w="5442" w:type="dxa"/>
            <w:vAlign w:val="center"/>
          </w:tcPr>
          <w:p w:rsidR="00DA14D0" w:rsidRDefault="000B0B68">
            <w:pPr>
              <w:widowControl/>
              <w:jc w:val="left"/>
              <w:textAlignment w:val="center"/>
              <w:rPr>
                <w:rFonts w:ascii="仿宋" w:eastAsia="仿宋" w:hAnsi="仿宋" w:cs="宋体"/>
                <w:sz w:val="24"/>
                <w:szCs w:val="24"/>
              </w:rPr>
            </w:pPr>
            <w:r>
              <w:rPr>
                <w:rFonts w:ascii="仿宋" w:eastAsia="仿宋" w:hAnsi="仿宋"/>
                <w:sz w:val="24"/>
                <w:szCs w:val="24"/>
              </w:rPr>
              <w:t>2.有依法缴纳税收的良好记录，提供近一年内不少于3个月的依法缴纳税收的证明</w:t>
            </w:r>
            <w:r>
              <w:rPr>
                <w:rFonts w:ascii="仿宋" w:eastAsia="仿宋" w:hAnsi="仿宋" w:hint="eastAsia"/>
                <w:sz w:val="24"/>
                <w:szCs w:val="24"/>
              </w:rPr>
              <w:t>。</w:t>
            </w:r>
          </w:p>
        </w:tc>
        <w:tc>
          <w:tcPr>
            <w:tcW w:w="2091" w:type="dxa"/>
            <w:vAlign w:val="center"/>
          </w:tcPr>
          <w:p w:rsidR="00DA14D0" w:rsidRDefault="00DA14D0">
            <w:pPr>
              <w:widowControl/>
              <w:jc w:val="left"/>
              <w:textAlignment w:val="center"/>
              <w:rPr>
                <w:rFonts w:ascii="仿宋" w:eastAsia="仿宋" w:hAnsi="仿宋" w:cs="宋体"/>
                <w:sz w:val="24"/>
                <w:szCs w:val="24"/>
              </w:rPr>
            </w:pPr>
          </w:p>
        </w:tc>
      </w:tr>
      <w:tr w:rsidR="00DA14D0">
        <w:trPr>
          <w:trHeight w:val="927"/>
          <w:jc w:val="center"/>
        </w:trPr>
        <w:tc>
          <w:tcPr>
            <w:tcW w:w="1187" w:type="dxa"/>
            <w:vMerge/>
            <w:vAlign w:val="center"/>
          </w:tcPr>
          <w:p w:rsidR="00DA14D0" w:rsidRDefault="00DA14D0">
            <w:pPr>
              <w:widowControl/>
              <w:jc w:val="left"/>
              <w:rPr>
                <w:rFonts w:ascii="仿宋" w:eastAsia="仿宋" w:hAnsi="仿宋" w:cs="宋体"/>
                <w:color w:val="000000"/>
                <w:kern w:val="0"/>
                <w:sz w:val="24"/>
                <w:szCs w:val="24"/>
              </w:rPr>
            </w:pPr>
          </w:p>
        </w:tc>
        <w:tc>
          <w:tcPr>
            <w:tcW w:w="5442" w:type="dxa"/>
            <w:vAlign w:val="center"/>
          </w:tcPr>
          <w:p w:rsidR="00DA14D0" w:rsidRDefault="000B0B68">
            <w:pPr>
              <w:widowControl/>
              <w:jc w:val="left"/>
              <w:textAlignment w:val="center"/>
              <w:rPr>
                <w:rFonts w:ascii="仿宋" w:eastAsia="仿宋" w:hAnsi="仿宋" w:cs="宋体"/>
                <w:sz w:val="24"/>
                <w:szCs w:val="24"/>
              </w:rPr>
            </w:pPr>
            <w:r>
              <w:rPr>
                <w:rFonts w:ascii="仿宋" w:eastAsia="仿宋" w:hAnsi="仿宋"/>
                <w:sz w:val="24"/>
                <w:szCs w:val="24"/>
              </w:rPr>
              <w:t>3.有依法缴纳社会保障资金的良好记录，提供近一年内不少于3个月的依法缴纳社会保险的证明</w:t>
            </w:r>
            <w:r>
              <w:rPr>
                <w:rFonts w:ascii="仿宋" w:eastAsia="仿宋" w:hAnsi="仿宋" w:hint="eastAsia"/>
                <w:sz w:val="24"/>
                <w:szCs w:val="24"/>
              </w:rPr>
              <w:t>。</w:t>
            </w:r>
          </w:p>
        </w:tc>
        <w:tc>
          <w:tcPr>
            <w:tcW w:w="2091" w:type="dxa"/>
            <w:vAlign w:val="center"/>
          </w:tcPr>
          <w:p w:rsidR="00DA14D0" w:rsidRDefault="00DA14D0">
            <w:pPr>
              <w:widowControl/>
              <w:jc w:val="left"/>
              <w:textAlignment w:val="center"/>
              <w:rPr>
                <w:rFonts w:ascii="仿宋" w:eastAsia="仿宋" w:hAnsi="仿宋" w:cs="宋体"/>
                <w:sz w:val="24"/>
                <w:szCs w:val="24"/>
              </w:rPr>
            </w:pPr>
          </w:p>
        </w:tc>
      </w:tr>
      <w:tr w:rsidR="00DA14D0">
        <w:trPr>
          <w:trHeight w:val="927"/>
          <w:jc w:val="center"/>
        </w:trPr>
        <w:tc>
          <w:tcPr>
            <w:tcW w:w="1187" w:type="dxa"/>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Pr>
                <w:rFonts w:ascii="仿宋" w:eastAsia="仿宋" w:hAnsi="仿宋" w:cs="宋体" w:hint="eastAsia"/>
                <w:kern w:val="0"/>
                <w:sz w:val="24"/>
              </w:rPr>
              <w:t>国家及行业资质要求</w:t>
            </w:r>
          </w:p>
        </w:tc>
        <w:tc>
          <w:tcPr>
            <w:tcW w:w="5442" w:type="dxa"/>
            <w:vAlign w:val="center"/>
          </w:tcPr>
          <w:p w:rsidR="00DA14D0" w:rsidRDefault="000B0B68">
            <w:pPr>
              <w:widowControl/>
              <w:textAlignment w:val="center"/>
              <w:rPr>
                <w:rFonts w:ascii="仿宋" w:eastAsia="仿宋" w:hAnsi="仿宋"/>
                <w:sz w:val="24"/>
                <w:szCs w:val="24"/>
              </w:rPr>
            </w:pPr>
            <w:r>
              <w:rPr>
                <w:rFonts w:ascii="仿宋" w:eastAsia="仿宋" w:hAnsi="仿宋"/>
                <w:sz w:val="24"/>
              </w:rPr>
              <w:t>具</w:t>
            </w:r>
            <w:r>
              <w:rPr>
                <w:rFonts w:ascii="仿宋" w:eastAsia="仿宋" w:hAnsi="仿宋" w:hint="eastAsia"/>
                <w:sz w:val="24"/>
              </w:rPr>
              <w:t>备</w:t>
            </w:r>
            <w:r w:rsidRPr="00F20B16">
              <w:rPr>
                <w:rFonts w:ascii="仿宋" w:eastAsia="仿宋" w:hAnsi="仿宋" w:hint="eastAsia"/>
                <w:sz w:val="24"/>
              </w:rPr>
              <w:t>VMware[VMware International Unlimited Company]、Oracle[甲骨文（中国）软件系统有限公司]和VERITAS[华睿泰科技（北京）有限公司]的授权函</w:t>
            </w:r>
            <w:r w:rsidRPr="00F20B16">
              <w:rPr>
                <w:rFonts w:ascii="仿宋" w:eastAsia="仿宋" w:hAnsi="仿宋" w:hint="eastAsia"/>
                <w:sz w:val="28"/>
                <w:szCs w:val="28"/>
              </w:rPr>
              <w:t>。</w:t>
            </w:r>
          </w:p>
        </w:tc>
        <w:tc>
          <w:tcPr>
            <w:tcW w:w="2091" w:type="dxa"/>
            <w:vAlign w:val="center"/>
          </w:tcPr>
          <w:p w:rsidR="00DA14D0" w:rsidRDefault="00DA14D0">
            <w:pPr>
              <w:widowControl/>
              <w:jc w:val="left"/>
              <w:textAlignment w:val="center"/>
              <w:rPr>
                <w:rFonts w:ascii="仿宋" w:eastAsia="仿宋" w:hAnsi="仿宋" w:cs="宋体"/>
                <w:sz w:val="24"/>
                <w:szCs w:val="24"/>
              </w:rPr>
            </w:pPr>
          </w:p>
        </w:tc>
      </w:tr>
      <w:tr w:rsidR="00DA14D0">
        <w:trPr>
          <w:trHeight w:val="575"/>
          <w:jc w:val="center"/>
        </w:trPr>
        <w:tc>
          <w:tcPr>
            <w:tcW w:w="1187" w:type="dxa"/>
            <w:vMerge w:val="restart"/>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四、其他要求</w:t>
            </w:r>
          </w:p>
        </w:tc>
        <w:tc>
          <w:tcPr>
            <w:tcW w:w="5442" w:type="dxa"/>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1.供应商能够开具增值税专用发票。</w:t>
            </w:r>
          </w:p>
        </w:tc>
        <w:tc>
          <w:tcPr>
            <w:tcW w:w="2091" w:type="dxa"/>
            <w:vAlign w:val="center"/>
          </w:tcPr>
          <w:p w:rsidR="00DA14D0" w:rsidRDefault="00DA14D0">
            <w:pPr>
              <w:widowControl/>
              <w:jc w:val="left"/>
              <w:rPr>
                <w:rFonts w:ascii="仿宋" w:eastAsia="仿宋" w:hAnsi="仿宋" w:cs="宋体"/>
                <w:color w:val="000000"/>
                <w:kern w:val="0"/>
                <w:sz w:val="24"/>
                <w:szCs w:val="24"/>
              </w:rPr>
            </w:pPr>
          </w:p>
        </w:tc>
      </w:tr>
      <w:tr w:rsidR="00DA14D0">
        <w:trPr>
          <w:trHeight w:val="983"/>
          <w:jc w:val="center"/>
        </w:trPr>
        <w:tc>
          <w:tcPr>
            <w:tcW w:w="1187" w:type="dxa"/>
            <w:vMerge/>
            <w:vAlign w:val="center"/>
          </w:tcPr>
          <w:p w:rsidR="00DA14D0" w:rsidRDefault="00DA14D0">
            <w:pPr>
              <w:widowControl/>
              <w:jc w:val="left"/>
              <w:rPr>
                <w:rFonts w:ascii="仿宋" w:eastAsia="仿宋" w:hAnsi="仿宋" w:cs="宋体"/>
                <w:color w:val="000000"/>
                <w:kern w:val="0"/>
                <w:sz w:val="24"/>
                <w:szCs w:val="24"/>
              </w:rPr>
            </w:pPr>
          </w:p>
        </w:tc>
        <w:tc>
          <w:tcPr>
            <w:tcW w:w="5442" w:type="dxa"/>
            <w:vAlign w:val="center"/>
          </w:tcPr>
          <w:p w:rsidR="00DA14D0" w:rsidRDefault="000B0B6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2.供应商应具有VERITAS集中备份软件、VMware vSphere虚拟化集群软件、Oracle数据库及中间件软件维保项目案例。</w:t>
            </w:r>
          </w:p>
        </w:tc>
        <w:tc>
          <w:tcPr>
            <w:tcW w:w="2091" w:type="dxa"/>
            <w:vAlign w:val="center"/>
          </w:tcPr>
          <w:p w:rsidR="00DA14D0" w:rsidRDefault="00DA14D0">
            <w:pPr>
              <w:widowControl/>
              <w:jc w:val="left"/>
              <w:rPr>
                <w:rFonts w:ascii="仿宋" w:eastAsia="仿宋" w:hAnsi="仿宋" w:cs="宋体"/>
                <w:color w:val="10000A"/>
                <w:kern w:val="0"/>
                <w:sz w:val="24"/>
                <w:szCs w:val="24"/>
              </w:rPr>
            </w:pPr>
          </w:p>
        </w:tc>
      </w:tr>
    </w:tbl>
    <w:p w:rsidR="00DA14D0" w:rsidRDefault="00DA14D0">
      <w:pPr>
        <w:widowControl/>
        <w:rPr>
          <w:rFonts w:ascii="仿宋" w:eastAsia="仿宋" w:hAnsi="仿宋" w:cs="宋体"/>
          <w:kern w:val="0"/>
          <w:sz w:val="32"/>
          <w:szCs w:val="32"/>
          <w:u w:val="single"/>
        </w:rPr>
      </w:pPr>
    </w:p>
    <w:p w:rsidR="00DA14D0" w:rsidRDefault="000B0B68">
      <w:pPr>
        <w:widowControl/>
        <w:ind w:firstLineChars="200" w:firstLine="640"/>
      </w:pPr>
      <w:r>
        <w:rPr>
          <w:rFonts w:ascii="仿宋" w:eastAsia="仿宋" w:hAnsi="仿宋" w:cs="宋体" w:hint="eastAsia"/>
          <w:kern w:val="0"/>
          <w:sz w:val="32"/>
          <w:szCs w:val="32"/>
          <w:u w:val="single"/>
        </w:rPr>
        <w:t>说明：</w:t>
      </w:r>
      <w:r>
        <w:rPr>
          <w:rFonts w:ascii="仿宋" w:eastAsia="仿宋" w:hAnsi="仿宋" w:cs="宋体"/>
          <w:kern w:val="0"/>
          <w:sz w:val="32"/>
          <w:szCs w:val="32"/>
          <w:u w:val="single"/>
        </w:rPr>
        <w:t>“</w:t>
      </w:r>
      <w:r>
        <w:rPr>
          <w:rFonts w:ascii="仿宋" w:eastAsia="仿宋" w:hAnsi="仿宋" w:cs="宋体" w:hint="eastAsia"/>
          <w:kern w:val="0"/>
          <w:sz w:val="32"/>
          <w:szCs w:val="32"/>
          <w:u w:val="single"/>
        </w:rPr>
        <w:t>供应商应答情况</w:t>
      </w:r>
      <w:r>
        <w:rPr>
          <w:rFonts w:ascii="仿宋" w:eastAsia="仿宋" w:hAnsi="仿宋" w:cs="宋体"/>
          <w:kern w:val="0"/>
          <w:sz w:val="32"/>
          <w:szCs w:val="32"/>
          <w:u w:val="single"/>
        </w:rPr>
        <w:t>”</w:t>
      </w:r>
      <w:r>
        <w:rPr>
          <w:rFonts w:ascii="仿宋" w:eastAsia="仿宋" w:hAnsi="仿宋" w:cs="宋体" w:hint="eastAsia"/>
          <w:kern w:val="0"/>
          <w:sz w:val="32"/>
          <w:szCs w:val="32"/>
          <w:u w:val="single"/>
        </w:rPr>
        <w:t>栏</w:t>
      </w:r>
      <w:r>
        <w:rPr>
          <w:rFonts w:ascii="仿宋" w:eastAsia="仿宋" w:hAnsi="仿宋" w:cs="宋体"/>
          <w:kern w:val="0"/>
          <w:sz w:val="32"/>
          <w:szCs w:val="32"/>
          <w:u w:val="single"/>
        </w:rPr>
        <w:t>，通常应答“满足”</w:t>
      </w:r>
      <w:r>
        <w:rPr>
          <w:rFonts w:ascii="仿宋" w:eastAsia="仿宋" w:hAnsi="仿宋" w:cs="宋体" w:hint="eastAsia"/>
          <w:kern w:val="0"/>
          <w:sz w:val="32"/>
          <w:szCs w:val="32"/>
          <w:u w:val="single"/>
        </w:rPr>
        <w:t>或</w:t>
      </w:r>
      <w:r>
        <w:rPr>
          <w:rFonts w:ascii="仿宋" w:eastAsia="仿宋" w:hAnsi="仿宋" w:cs="宋体"/>
          <w:kern w:val="0"/>
          <w:sz w:val="32"/>
          <w:szCs w:val="32"/>
          <w:u w:val="single"/>
        </w:rPr>
        <w:t>“不</w:t>
      </w:r>
      <w:r>
        <w:rPr>
          <w:rFonts w:ascii="仿宋" w:eastAsia="仿宋" w:hAnsi="仿宋" w:cs="宋体" w:hint="eastAsia"/>
          <w:kern w:val="0"/>
          <w:sz w:val="32"/>
          <w:szCs w:val="32"/>
          <w:u w:val="single"/>
        </w:rPr>
        <w:t>能</w:t>
      </w:r>
      <w:r>
        <w:rPr>
          <w:rFonts w:ascii="仿宋" w:eastAsia="仿宋" w:hAnsi="仿宋" w:cs="宋体"/>
          <w:kern w:val="0"/>
          <w:sz w:val="32"/>
          <w:szCs w:val="32"/>
          <w:u w:val="single"/>
        </w:rPr>
        <w:t>满足”</w:t>
      </w:r>
      <w:r>
        <w:rPr>
          <w:rFonts w:ascii="仿宋" w:eastAsia="仿宋" w:hAnsi="仿宋" w:cs="宋体" w:hint="eastAsia"/>
          <w:kern w:val="0"/>
          <w:sz w:val="32"/>
          <w:szCs w:val="32"/>
          <w:u w:val="single"/>
        </w:rPr>
        <w:t>；</w:t>
      </w:r>
      <w:r>
        <w:rPr>
          <w:rFonts w:ascii="仿宋" w:eastAsia="仿宋" w:hAnsi="仿宋" w:cs="宋体"/>
          <w:kern w:val="0"/>
          <w:sz w:val="32"/>
          <w:szCs w:val="32"/>
          <w:u w:val="single"/>
        </w:rPr>
        <w:t>成功案例请附清单</w:t>
      </w:r>
      <w:r>
        <w:rPr>
          <w:rFonts w:ascii="仿宋" w:eastAsia="仿宋" w:hAnsi="仿宋" w:cs="宋体" w:hint="eastAsia"/>
          <w:kern w:val="0"/>
          <w:sz w:val="32"/>
          <w:szCs w:val="32"/>
          <w:u w:val="single"/>
        </w:rPr>
        <w:t>，</w:t>
      </w:r>
      <w:r>
        <w:rPr>
          <w:rFonts w:ascii="仿宋" w:eastAsia="仿宋" w:hAnsi="仿宋" w:cs="宋体"/>
          <w:kern w:val="0"/>
          <w:sz w:val="32"/>
          <w:szCs w:val="32"/>
          <w:u w:val="single"/>
        </w:rPr>
        <w:t>并加盖公司公章</w:t>
      </w:r>
      <w:r>
        <w:rPr>
          <w:rFonts w:ascii="仿宋" w:eastAsia="仿宋" w:hAnsi="仿宋" w:cs="宋体" w:hint="eastAsia"/>
          <w:kern w:val="0"/>
          <w:sz w:val="32"/>
          <w:szCs w:val="32"/>
          <w:u w:val="single"/>
        </w:rPr>
        <w:t>。</w:t>
      </w:r>
    </w:p>
    <w:sectPr w:rsidR="00DA14D0" w:rsidSect="00DA14D0">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96" w:rsidRDefault="00715396" w:rsidP="00B96C3A">
      <w:r>
        <w:separator/>
      </w:r>
    </w:p>
  </w:endnote>
  <w:endnote w:type="continuationSeparator" w:id="1">
    <w:p w:rsidR="00715396" w:rsidRDefault="00715396" w:rsidP="00B96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96" w:rsidRDefault="00715396" w:rsidP="00B96C3A">
      <w:r>
        <w:separator/>
      </w:r>
    </w:p>
  </w:footnote>
  <w:footnote w:type="continuationSeparator" w:id="1">
    <w:p w:rsidR="00715396" w:rsidRDefault="00715396" w:rsidP="00B96C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A14D0"/>
    <w:rsid w:val="000B0B68"/>
    <w:rsid w:val="001461B6"/>
    <w:rsid w:val="00282EB6"/>
    <w:rsid w:val="005810BE"/>
    <w:rsid w:val="005D1011"/>
    <w:rsid w:val="00715396"/>
    <w:rsid w:val="00B96C3A"/>
    <w:rsid w:val="00DA14D0"/>
    <w:rsid w:val="00F20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D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A14D0"/>
    <w:rPr>
      <w:b/>
      <w:bCs/>
    </w:rPr>
  </w:style>
  <w:style w:type="paragraph" w:styleId="a4">
    <w:name w:val="annotation text"/>
    <w:basedOn w:val="a"/>
    <w:link w:val="Char0"/>
    <w:unhideWhenUsed/>
    <w:qFormat/>
    <w:rsid w:val="00DA14D0"/>
    <w:pPr>
      <w:jc w:val="left"/>
    </w:pPr>
  </w:style>
  <w:style w:type="paragraph" w:styleId="a5">
    <w:name w:val="Balloon Text"/>
    <w:basedOn w:val="a"/>
    <w:link w:val="Char1"/>
    <w:uiPriority w:val="99"/>
    <w:unhideWhenUsed/>
    <w:rsid w:val="00DA14D0"/>
    <w:rPr>
      <w:sz w:val="18"/>
      <w:szCs w:val="18"/>
    </w:rPr>
  </w:style>
  <w:style w:type="paragraph" w:styleId="a6">
    <w:name w:val="footer"/>
    <w:basedOn w:val="a"/>
    <w:link w:val="Char2"/>
    <w:uiPriority w:val="99"/>
    <w:unhideWhenUsed/>
    <w:rsid w:val="00DA14D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A14D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DA14D0"/>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unhideWhenUsed/>
    <w:rsid w:val="00DA14D0"/>
    <w:rPr>
      <w:color w:val="0000FF"/>
      <w:u w:val="single"/>
    </w:rPr>
  </w:style>
  <w:style w:type="character" w:styleId="aa">
    <w:name w:val="annotation reference"/>
    <w:basedOn w:val="a0"/>
    <w:unhideWhenUsed/>
    <w:qFormat/>
    <w:rsid w:val="00DA14D0"/>
    <w:rPr>
      <w:sz w:val="21"/>
      <w:szCs w:val="21"/>
    </w:rPr>
  </w:style>
  <w:style w:type="paragraph" w:customStyle="1" w:styleId="1">
    <w:name w:val="列出段落1"/>
    <w:basedOn w:val="a"/>
    <w:uiPriority w:val="34"/>
    <w:qFormat/>
    <w:rsid w:val="00DA14D0"/>
    <w:pPr>
      <w:ind w:firstLineChars="200" w:firstLine="420"/>
    </w:pPr>
  </w:style>
  <w:style w:type="character" w:customStyle="1" w:styleId="Char0">
    <w:name w:val="批注文字 Char"/>
    <w:basedOn w:val="a0"/>
    <w:link w:val="a4"/>
    <w:qFormat/>
    <w:rsid w:val="00DA14D0"/>
    <w:rPr>
      <w:rFonts w:ascii="Calibri" w:eastAsia="宋体" w:hAnsi="Calibri" w:cs="黑体"/>
    </w:rPr>
  </w:style>
  <w:style w:type="character" w:customStyle="1" w:styleId="Char1">
    <w:name w:val="批注框文本 Char"/>
    <w:basedOn w:val="a0"/>
    <w:link w:val="a5"/>
    <w:uiPriority w:val="99"/>
    <w:semiHidden/>
    <w:rsid w:val="00DA14D0"/>
    <w:rPr>
      <w:rFonts w:ascii="Calibri" w:eastAsia="宋体" w:hAnsi="Calibri" w:cs="黑体"/>
      <w:sz w:val="18"/>
      <w:szCs w:val="18"/>
    </w:rPr>
  </w:style>
  <w:style w:type="character" w:customStyle="1" w:styleId="Char2">
    <w:name w:val="页脚 Char"/>
    <w:basedOn w:val="a0"/>
    <w:link w:val="a6"/>
    <w:uiPriority w:val="99"/>
    <w:qFormat/>
    <w:rsid w:val="00DA14D0"/>
    <w:rPr>
      <w:rFonts w:ascii="Calibri" w:eastAsia="宋体" w:hAnsi="Calibri" w:cs="黑体"/>
      <w:sz w:val="18"/>
      <w:szCs w:val="18"/>
    </w:rPr>
  </w:style>
  <w:style w:type="character" w:customStyle="1" w:styleId="Char3">
    <w:name w:val="页眉 Char"/>
    <w:basedOn w:val="a0"/>
    <w:link w:val="a7"/>
    <w:uiPriority w:val="99"/>
    <w:rsid w:val="00DA14D0"/>
    <w:rPr>
      <w:rFonts w:ascii="Calibri" w:eastAsia="宋体" w:hAnsi="Calibri" w:cs="黑体"/>
      <w:sz w:val="18"/>
      <w:szCs w:val="18"/>
    </w:rPr>
  </w:style>
  <w:style w:type="character" w:customStyle="1" w:styleId="Char">
    <w:name w:val="批注主题 Char"/>
    <w:basedOn w:val="Char0"/>
    <w:link w:val="a3"/>
    <w:uiPriority w:val="99"/>
    <w:semiHidden/>
    <w:qFormat/>
    <w:rsid w:val="00DA14D0"/>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锦州银行Windows服务器操作系统授权及服务器软件维保采购项目潜在供应商招募公告</dc:title>
  <dc:creator>匿名用户</dc:creator>
  <cp:lastModifiedBy>匿名用户</cp:lastModifiedBy>
  <cp:revision>2</cp:revision>
  <dcterms:created xsi:type="dcterms:W3CDTF">2022-08-01T05:58:00Z</dcterms:created>
  <dcterms:modified xsi:type="dcterms:W3CDTF">2022-08-01T05:58:00Z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2052-9.1.0.4718</vt:lpwstr>
  </property>
  <property fmtid="{D5CDD505-2E9C-101B-9397-08002B2CF9AE}" pid="3" name="ICV">
    <vt:lpwstr>8DF5F5E764C44D3D8669D7DFADBE59A7</vt:lpwstr>
  </property>
</Properties>
</file>